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바탕" w:hAnsi="바탕" w:eastAsia="바탕"/>
          <w:b w:val="0"/>
          <w:color w:val="666666"/>
          <w:sz w:val="18"/>
        </w:rPr>
        <w:t>[별지] 심사 규정 제9조</w:t>
      </w:r>
    </w:p>
    <w:p>
      <w:pPr>
        <w:jc w:val="center"/>
      </w:pPr>
      <w:r>
        <w:rPr>
          <w:rFonts w:ascii="바탕" w:hAnsi="바탕" w:eastAsia="바탕"/>
          <w:b/>
          <w:sz w:val="34"/>
        </w:rPr>
        <w:t>논문 심사의견서</w:t>
      </w:r>
    </w:p>
    <w:p>
      <w:pPr>
        <w:jc w:val="center"/>
      </w:pPr>
      <w:r>
        <w:rPr>
          <w:rFonts w:ascii="바탕" w:hAnsi="바탕" w:eastAsia="바탕"/>
          <w:b w:val="0"/>
          <w:color w:val="444444"/>
          <w:sz w:val="20"/>
        </w:rPr>
        <w:t>별땅오술구조학회 학술지 「오술구조연구」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논문 번호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논문 제목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심사 기간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의뢰  20    .    .      ~   완료  20    .    .</w:t>
            </w:r>
          </w:p>
        </w:tc>
      </w:tr>
    </w:tbl>
    <w:p/>
    <w:p>
      <w:r>
        <w:rPr>
          <w:rFonts w:ascii="바탕" w:hAnsi="바탕" w:eastAsia="바탕"/>
          <w:b/>
        </w:rPr>
        <w:t>1. 항목별 평가 (각 20점)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7370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평가 항목</w:t>
            </w:r>
          </w:p>
        </w:tc>
        <w:tc>
          <w:tcPr>
            <w:tcW w:type="dxa" w:w="2041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점수</w:t>
            </w:r>
          </w:p>
        </w:tc>
      </w:tr>
      <w:tr>
        <w:tc>
          <w:tcPr>
            <w:tcW w:type="dxa" w:w="7370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학술적 독창성과 기여도</w:t>
            </w:r>
          </w:p>
        </w:tc>
        <w:tc>
          <w:tcPr>
            <w:tcW w:type="dxa" w:w="204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 xml:space="preserve">      / 20</w:t>
            </w:r>
          </w:p>
        </w:tc>
      </w:tr>
      <w:tr>
        <w:tc>
          <w:tcPr>
            <w:tcW w:type="dxa" w:w="7370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연구 방법론의 구조적 타당성</w:t>
            </w:r>
          </w:p>
        </w:tc>
        <w:tc>
          <w:tcPr>
            <w:tcW w:type="dxa" w:w="204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 xml:space="preserve">      / 20</w:t>
            </w:r>
          </w:p>
        </w:tc>
      </w:tr>
      <w:tr>
        <w:tc>
          <w:tcPr>
            <w:tcW w:type="dxa" w:w="7370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논증의 논리적 일관성과 체계성</w:t>
            </w:r>
          </w:p>
        </w:tc>
        <w:tc>
          <w:tcPr>
            <w:tcW w:type="dxa" w:w="204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 xml:space="preserve">      / 20</w:t>
            </w:r>
          </w:p>
        </w:tc>
      </w:tr>
      <w:tr>
        <w:tc>
          <w:tcPr>
            <w:tcW w:type="dxa" w:w="7370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본 회 기본 이념(구조주의 · 설명 가능성 · 반신비주의 · 비교 개방성)과의 부합</w:t>
            </w:r>
          </w:p>
        </w:tc>
        <w:tc>
          <w:tcPr>
            <w:tcW w:type="dxa" w:w="204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 xml:space="preserve">      / 20</w:t>
            </w:r>
          </w:p>
        </w:tc>
      </w:tr>
      <w:tr>
        <w:tc>
          <w:tcPr>
            <w:tcW w:type="dxa" w:w="7370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논문 형식과 학술적 관례(인용 · 참고문헌 · 영문 초록)</w:t>
            </w:r>
          </w:p>
        </w:tc>
        <w:tc>
          <w:tcPr>
            <w:tcW w:type="dxa" w:w="204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 xml:space="preserve">      / 20</w:t>
            </w:r>
          </w:p>
        </w:tc>
      </w:tr>
      <w:tr>
        <w:tc>
          <w:tcPr>
            <w:tcW w:type="dxa" w:w="7370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합계</w:t>
            </w:r>
          </w:p>
        </w:tc>
        <w:tc>
          <w:tcPr>
            <w:tcW w:type="dxa" w:w="204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 xml:space="preserve">      / 100</w:t>
            </w:r>
          </w:p>
        </w:tc>
      </w:tr>
    </w:tbl>
    <w:p/>
    <w:p>
      <w:r>
        <w:rPr>
          <w:rFonts w:ascii="바탕" w:hAnsi="바탕" w:eastAsia="바탕"/>
          <w:b/>
        </w:rPr>
        <w:t>2. 판정</w:t>
      </w:r>
    </w:p>
    <w:p>
      <w:r>
        <w:rPr>
          <w:rFonts w:ascii="바탕" w:hAnsi="바탕" w:eastAsia="바탕"/>
          <w:b w:val="0"/>
        </w:rPr>
        <w:t>□ 게재 가 (참고 85점 이상)   □ 수정 후 게재 (75~84)   □ 수정 후 재심사 (60~74)   □ 게재 불가 (60 미만)</w:t>
      </w:r>
    </w:p>
    <w:p>
      <w:r>
        <w:rPr>
          <w:rFonts w:ascii="바탕" w:hAnsi="바탕" w:eastAsia="바탕"/>
          <w:b/>
        </w:rPr>
        <w:t>3. 종합 의견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trHeight w:val="1701"/>
        </w:trPr>
        <w:tc>
          <w:tcPr>
            <w:tcW w:type="dxa" w:w="941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p>
      <w:r>
        <w:rPr>
          <w:rFonts w:ascii="바탕" w:hAnsi="바탕" w:eastAsia="바탕"/>
          <w:b/>
        </w:rPr>
        <w:t>4. 고칠 사항 (번호를 붙여 구체적으로 — 투고자에게 그대로 전달됩니다)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trHeight w:val="2041"/>
        </w:trPr>
        <w:tc>
          <w:tcPr>
            <w:tcW w:type="dxa" w:w="941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p>
      <w:r>
        <w:rPr>
          <w:rFonts w:ascii="바탕" w:hAnsi="바탕" w:eastAsia="바탕"/>
          <w:b w:val="0"/>
          <w:sz w:val="18"/>
        </w:rPr>
        <w:t>※ 심사위원의 신원은 투고자에게 알리지 않습니다. 아래 칸은 편집위원회 보관용으로 떼어 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심사위원 성명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소속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서명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p/>
    <w:p>
      <w:pPr>
        <w:jc w:val="center"/>
      </w:pPr>
      <w:r>
        <w:rPr>
          <w:rFonts w:ascii="바탕" w:hAnsi="바탕" w:eastAsia="바탕"/>
          <w:b/>
          <w:sz w:val="24"/>
        </w:rPr>
        <w:t>별땅오술구조학회 「오술구조연구」 편집위원회 귀중</w:t>
      </w:r>
    </w:p>
    <w:p>
      <w:pPr>
        <w:jc w:val="center"/>
      </w:pPr>
      <w:r>
        <w:rPr>
          <w:rFonts w:ascii="바탕" w:hAnsi="바탕" w:eastAsia="바탕"/>
          <w:b w:val="0"/>
          <w:sz w:val="18"/>
        </w:rPr>
        <w:t>제출 · 문의: info@bssfa.or.kr · 전화 02-356-2560</w:t>
      </w:r>
    </w:p>
    <w:sectPr w:rsidR="00FC693F" w:rsidRPr="0006063C" w:rsidSect="00034616">
      <w:pgSz w:w="11906" w:h="16838"/>
      <w:pgMar w:top="850" w:right="1247" w:bottom="79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88" w:lineRule="auto"/>
    </w:pPr>
    <w:rPr>
      <w:rFonts w:ascii="바탕" w:hAnsi="바탕" w:eastAsia="바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